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100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3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100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10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100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03"/>
        <w:ind w:right="-57"/>
        <w:jc w:val="center"/>
        <w:spacing w:before="120"/>
        <w:tabs>
          <w:tab w:val="left" w:pos="10440" w:leader="none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Красная, 144, Ижевск, 426008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1003"/>
        <w:ind w:right="-55"/>
        <w:jc w:val="center"/>
        <w:tabs>
          <w:tab w:val="left" w:pos="10440" w:leader="none"/>
        </w:tabs>
        <w:rPr>
          <w:color w:val="000000"/>
          <w:sz w:val="18"/>
          <w:szCs w:val="18"/>
          <w:lang w:val="en-US"/>
        </w:rPr>
      </w:pPr>
      <w:r>
        <w:rPr>
          <w:sz w:val="18"/>
          <w:szCs w:val="18"/>
        </w:rPr>
        <w:t xml:space="preserve">Тел</w:t>
      </w:r>
      <w:r>
        <w:rPr>
          <w:sz w:val="18"/>
          <w:szCs w:val="18"/>
          <w:lang w:val="en-US"/>
        </w:rPr>
        <w:t xml:space="preserve">.: (3412) </w:t>
      </w:r>
      <w:r>
        <w:rPr>
          <w:sz w:val="18"/>
          <w:szCs w:val="18"/>
          <w:lang w:val="en-US"/>
        </w:rPr>
        <w:t xml:space="preserve">222-688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e</w:t>
      </w:r>
      <w:r>
        <w:rPr>
          <w:color w:val="000000"/>
          <w:sz w:val="18"/>
          <w:szCs w:val="18"/>
          <w:lang w:val="en-US"/>
        </w:rPr>
        <w:t xml:space="preserve">-</w:t>
      </w:r>
      <w:r>
        <w:rPr>
          <w:color w:val="000000"/>
          <w:sz w:val="18"/>
          <w:szCs w:val="18"/>
          <w:lang w:val="en-US"/>
        </w:rPr>
        <w:t xml:space="preserve">mail</w:t>
      </w:r>
      <w:r>
        <w:rPr>
          <w:color w:val="000000"/>
          <w:sz w:val="18"/>
          <w:szCs w:val="18"/>
          <w:lang w:val="en-US"/>
        </w:rPr>
        <w:t xml:space="preserve">: </w:t>
      </w:r>
      <w:r>
        <w:rPr>
          <w:rFonts w:cs="MS Sans Serif"/>
          <w:color w:val="000000"/>
          <w:lang w:val="en-US"/>
        </w:rPr>
        <w:t xml:space="preserve">mail@mpt.udmr.ru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lang w:val="en-US"/>
        </w:rPr>
        <w:t xml:space="preserve">http://www.mintorg.udmurt.ru</w:t>
      </w:r>
      <w:r>
        <w:rPr>
          <w:color w:val="000000"/>
          <w:sz w:val="18"/>
          <w:szCs w:val="18"/>
          <w:lang w:val="en-US"/>
        </w:rPr>
      </w:r>
      <w:r>
        <w:rPr>
          <w:color w:val="000000"/>
          <w:sz w:val="18"/>
          <w:szCs w:val="18"/>
          <w:lang w:val="en-US"/>
        </w:rPr>
      </w:r>
    </w:p>
    <w:p>
      <w:pPr>
        <w:pStyle w:val="1003"/>
        <w:ind w:right="-55"/>
        <w:jc w:val="center"/>
        <w:tabs>
          <w:tab w:val="left" w:pos="10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ОКПО 29993625 О</w:t>
      </w:r>
      <w:r>
        <w:rPr>
          <w:sz w:val="18"/>
          <w:szCs w:val="18"/>
        </w:rPr>
        <w:t xml:space="preserve">Г</w:t>
      </w:r>
      <w:r>
        <w:rPr>
          <w:sz w:val="18"/>
          <w:szCs w:val="18"/>
        </w:rPr>
        <w:t xml:space="preserve">РН 1151831000463 ИНН/КПП 1841048002/184101001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03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ПРЕСС – РЕЛИЗ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4"/>
        <w:jc w:val="center"/>
        <w:spacing w:before="0" w:beforeAutospacing="0" w:after="0" w:afterAutospacing="0"/>
        <w:shd w:val="clear" w:color="auto" w:fill="ffffff"/>
        <w:rPr>
          <w:rStyle w:val="1055"/>
          <w:b/>
          <w:color w:val="000000"/>
          <w:sz w:val="28"/>
          <w:szCs w:val="28"/>
        </w:rPr>
      </w:pPr>
      <w:r>
        <w:rPr>
          <w:rStyle w:val="1055"/>
          <w:b/>
          <w:color w:val="000000"/>
          <w:sz w:val="28"/>
          <w:szCs w:val="28"/>
        </w:rPr>
        <w:t xml:space="preserve">И</w:t>
      </w:r>
      <w:r>
        <w:rPr>
          <w:rStyle w:val="1055"/>
          <w:b/>
          <w:color w:val="000000"/>
          <w:sz w:val="28"/>
          <w:szCs w:val="28"/>
        </w:rPr>
        <w:t xml:space="preserve">тоги </w:t>
      </w:r>
      <w:r>
        <w:rPr>
          <w:rStyle w:val="1055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55"/>
          <w:b/>
          <w:color w:val="000000"/>
          <w:sz w:val="28"/>
          <w:szCs w:val="28"/>
        </w:rPr>
      </w:r>
      <w:r>
        <w:rPr>
          <w:rStyle w:val="1055"/>
          <w:b/>
          <w:color w:val="000000"/>
          <w:sz w:val="28"/>
          <w:szCs w:val="28"/>
        </w:rPr>
      </w:r>
    </w:p>
    <w:p>
      <w:pPr>
        <w:pStyle w:val="1054"/>
        <w:jc w:val="center"/>
        <w:spacing w:before="0" w:beforeAutospacing="0" w:after="0" w:afterAutospacing="0"/>
        <w:shd w:val="clear" w:color="auto" w:fill="ffffff"/>
        <w:rPr>
          <w:rStyle w:val="1055"/>
          <w:b/>
          <w:color w:val="000000"/>
          <w:sz w:val="28"/>
          <w:szCs w:val="28"/>
        </w:rPr>
      </w:pPr>
      <w:r>
        <w:rPr>
          <w:rStyle w:val="1055"/>
          <w:b/>
          <w:color w:val="000000"/>
          <w:sz w:val="28"/>
          <w:szCs w:val="28"/>
        </w:rPr>
        <w:t xml:space="preserve">за</w:t>
      </w:r>
      <w:r>
        <w:rPr>
          <w:rStyle w:val="1055"/>
          <w:b/>
          <w:color w:val="000000"/>
          <w:sz w:val="28"/>
          <w:szCs w:val="28"/>
        </w:rPr>
        <w:t xml:space="preserve"> </w:t>
      </w:r>
      <w:r>
        <w:rPr>
          <w:rStyle w:val="1055"/>
          <w:b/>
          <w:color w:val="000000"/>
          <w:sz w:val="28"/>
          <w:szCs w:val="28"/>
        </w:rPr>
        <w:t xml:space="preserve">январь-август</w:t>
      </w:r>
      <w:r>
        <w:rPr>
          <w:rStyle w:val="1055"/>
          <w:b/>
          <w:color w:val="000000"/>
          <w:sz w:val="28"/>
          <w:szCs w:val="28"/>
        </w:rPr>
        <w:t xml:space="preserve"> </w:t>
      </w:r>
      <w:r>
        <w:rPr>
          <w:rStyle w:val="1055"/>
          <w:b/>
          <w:color w:val="000000"/>
          <w:sz w:val="28"/>
          <w:szCs w:val="28"/>
        </w:rPr>
        <w:t xml:space="preserve">20</w:t>
      </w:r>
      <w:r>
        <w:rPr>
          <w:rStyle w:val="1055"/>
          <w:b/>
          <w:color w:val="000000"/>
          <w:sz w:val="28"/>
          <w:szCs w:val="28"/>
        </w:rPr>
        <w:t xml:space="preserve">2</w:t>
      </w:r>
      <w:r>
        <w:rPr>
          <w:rStyle w:val="1055"/>
          <w:b/>
          <w:color w:val="000000"/>
          <w:sz w:val="28"/>
          <w:szCs w:val="28"/>
        </w:rPr>
        <w:t xml:space="preserve">4</w:t>
      </w:r>
      <w:r>
        <w:rPr>
          <w:rStyle w:val="1055"/>
          <w:b/>
          <w:color w:val="000000"/>
          <w:sz w:val="28"/>
          <w:szCs w:val="28"/>
        </w:rPr>
        <w:t xml:space="preserve"> </w:t>
      </w:r>
      <w:r>
        <w:rPr>
          <w:rStyle w:val="1055"/>
          <w:b/>
          <w:color w:val="000000"/>
          <w:sz w:val="28"/>
          <w:szCs w:val="28"/>
        </w:rPr>
        <w:t xml:space="preserve">год</w:t>
      </w:r>
      <w:r>
        <w:rPr>
          <w:rStyle w:val="1055"/>
          <w:b/>
          <w:color w:val="000000"/>
          <w:sz w:val="28"/>
          <w:szCs w:val="28"/>
        </w:rPr>
        <w:t xml:space="preserve">а</w:t>
      </w:r>
      <w:r>
        <w:rPr>
          <w:rStyle w:val="1055"/>
          <w:b/>
          <w:color w:val="000000"/>
          <w:sz w:val="28"/>
          <w:szCs w:val="28"/>
        </w:rPr>
      </w:r>
      <w:r>
        <w:rPr>
          <w:rStyle w:val="1055"/>
          <w:b/>
          <w:color w:val="000000"/>
          <w:sz w:val="28"/>
          <w:szCs w:val="28"/>
        </w:rPr>
      </w:r>
    </w:p>
    <w:p>
      <w:pPr>
        <w:pStyle w:val="1054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7"/>
          <w:szCs w:val="27"/>
          <w:highlight w:val="white"/>
        </w:rPr>
      </w:pP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  <w:r>
        <w:rPr>
          <w:b/>
          <w:color w:val="000000"/>
          <w:sz w:val="27"/>
          <w:szCs w:val="27"/>
          <w:highlight w:val="white"/>
        </w:rPr>
      </w:r>
    </w:p>
    <w:p>
      <w:pPr>
        <w:pStyle w:val="1003"/>
        <w:ind w:firstLine="709"/>
        <w:jc w:val="both"/>
        <w:widowControl w:val="off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ru-RU"/>
        </w:rPr>
        <w:t xml:space="preserve">М</w:t>
      </w:r>
      <w:r>
        <w:rPr>
          <w:sz w:val="28"/>
          <w:szCs w:val="28"/>
          <w:highlight w:val="white"/>
          <w:lang w:eastAsia="ru-RU"/>
        </w:rPr>
        <w:t xml:space="preserve">ин</w:t>
      </w:r>
      <w:r>
        <w:rPr>
          <w:sz w:val="28"/>
          <w:szCs w:val="28"/>
          <w:highlight w:val="white"/>
          <w:lang w:eastAsia="ru-RU"/>
        </w:rPr>
        <w:t xml:space="preserve">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рь-август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года.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00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sz w:val="28"/>
          <w:szCs w:val="28"/>
          <w:highlight w:val="white"/>
          <w:lang w:eastAsia="ru-RU"/>
        </w:rPr>
        <w:t xml:space="preserve">за </w:t>
      </w:r>
      <w:r>
        <w:rPr>
          <w:sz w:val="28"/>
          <w:szCs w:val="28"/>
          <w:highlight w:val="white"/>
          <w:lang w:eastAsia="ru-RU"/>
        </w:rPr>
        <w:t xml:space="preserve">январь-</w:t>
      </w:r>
      <w:r>
        <w:rPr>
          <w:sz w:val="28"/>
          <w:szCs w:val="28"/>
          <w:highlight w:val="white"/>
          <w:lang w:eastAsia="ru-RU"/>
        </w:rPr>
        <w:t xml:space="preserve">август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года предприятиями респуб</w:t>
      </w:r>
      <w:r>
        <w:rPr>
          <w:sz w:val="28"/>
          <w:szCs w:val="28"/>
          <w:highlight w:val="white"/>
          <w:lang w:eastAsia="ru-RU"/>
        </w:rPr>
        <w:t xml:space="preserve">лики отгружено товаров (работ, услуг) собственного производства на сумму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779,9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рублей</w:t>
      </w:r>
      <w:r>
        <w:rPr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</w:t>
      </w:r>
      <w:r>
        <w:rPr>
          <w:sz w:val="28"/>
          <w:szCs w:val="28"/>
          <w:highlight w:val="white"/>
          <w:lang w:eastAsia="ru-RU"/>
        </w:rPr>
        <w:t xml:space="preserve">– 138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5 %.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итогам восьми </w:t>
      </w:r>
      <w:r>
        <w:rPr>
          <w:sz w:val="28"/>
          <w:szCs w:val="28"/>
          <w:highlight w:val="white"/>
          <w:lang w:eastAsia="ru-RU"/>
        </w:rPr>
        <w:t xml:space="preserve">месяцев</w:t>
      </w:r>
      <w:r>
        <w:rPr>
          <w:sz w:val="28"/>
          <w:szCs w:val="28"/>
          <w:highlight w:val="white"/>
          <w:lang w:eastAsia="ru-RU"/>
        </w:rPr>
        <w:t xml:space="preserve"> 2024 года Удмуртия по индексу промышленно</w:t>
      </w:r>
      <w:r>
        <w:rPr>
          <w:sz w:val="28"/>
          <w:szCs w:val="28"/>
          <w:highlight w:val="white"/>
          <w:lang w:eastAsia="ru-RU"/>
        </w:rPr>
        <w:t xml:space="preserve">г</w:t>
      </w:r>
      <w:r>
        <w:rPr>
          <w:sz w:val="28"/>
          <w:szCs w:val="28"/>
          <w:highlight w:val="white"/>
          <w:lang w:eastAsia="ru-RU"/>
        </w:rPr>
        <w:t xml:space="preserve">о производства (далее – ИПП) в целом по промышленности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вошла в ТОП-10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106,2</w:t>
      </w:r>
      <w:r>
        <w:rPr>
          <w:sz w:val="28"/>
          <w:szCs w:val="28"/>
          <w:highlight w:val="white"/>
          <w:lang w:eastAsia="ru-RU"/>
        </w:rPr>
        <w:t xml:space="preserve"> %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что выше ИПП Российской Федер</w:t>
      </w:r>
      <w:r>
        <w:rPr>
          <w:sz w:val="28"/>
          <w:szCs w:val="28"/>
          <w:highlight w:val="white"/>
          <w:lang w:eastAsia="ru-RU"/>
        </w:rPr>
        <w:t xml:space="preserve">аци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(</w:t>
      </w:r>
      <w:r>
        <w:rPr>
          <w:sz w:val="28"/>
          <w:szCs w:val="28"/>
          <w:highlight w:val="white"/>
          <w:lang w:eastAsia="ru-RU"/>
        </w:rPr>
        <w:t xml:space="preserve">10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,5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sz w:val="28"/>
          <w:szCs w:val="28"/>
          <w:highlight w:val="white"/>
          <w:lang w:eastAsia="ru-RU"/>
        </w:rPr>
        <w:t xml:space="preserve">443,9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руб., </w:t>
      </w:r>
      <w:r>
        <w:rPr>
          <w:sz w:val="28"/>
          <w:szCs w:val="28"/>
          <w:highlight w:val="white"/>
          <w:lang w:eastAsia="ru-RU"/>
        </w:rPr>
        <w:t xml:space="preserve">темп роста к ана</w:t>
      </w:r>
      <w:r>
        <w:rPr>
          <w:sz w:val="28"/>
          <w:szCs w:val="28"/>
          <w:highlight w:val="white"/>
          <w:lang w:eastAsia="ru-RU"/>
        </w:rPr>
        <w:t xml:space="preserve">логичному периоду прошлого </w:t>
      </w:r>
      <w:r>
        <w:rPr>
          <w:sz w:val="28"/>
          <w:szCs w:val="28"/>
          <w:highlight w:val="white"/>
          <w:lang w:eastAsia="ru-RU"/>
        </w:rPr>
        <w:t xml:space="preserve">года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137,1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 </w:t>
      </w:r>
      <w:r>
        <w:rPr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sz w:val="28"/>
          <w:szCs w:val="28"/>
          <w:highlight w:val="white"/>
          <w:lang w:eastAsia="ru-RU"/>
        </w:rPr>
        <w:t xml:space="preserve"> Удмуртия </w:t>
      </w:r>
      <w:r>
        <w:rPr>
          <w:sz w:val="28"/>
          <w:szCs w:val="28"/>
          <w:highlight w:val="white"/>
          <w:lang w:eastAsia="ru-RU"/>
        </w:rPr>
        <w:t xml:space="preserve">занимает 4-е место по отрасли «обрабатывающих производств»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 </w:t>
      </w:r>
      <w:r>
        <w:rPr>
          <w:sz w:val="28"/>
          <w:szCs w:val="28"/>
          <w:highlight w:val="white"/>
          <w:lang w:eastAsia="ru-RU"/>
        </w:rPr>
        <w:t xml:space="preserve">114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ИПП выше общероссийского на </w:t>
      </w:r>
      <w:r>
        <w:rPr>
          <w:sz w:val="28"/>
          <w:szCs w:val="28"/>
          <w:highlight w:val="white"/>
          <w:lang w:eastAsia="ru-RU"/>
        </w:rPr>
        <w:t xml:space="preserve">5,9 </w:t>
      </w:r>
      <w:r>
        <w:rPr>
          <w:sz w:val="28"/>
          <w:szCs w:val="28"/>
          <w:highlight w:val="white"/>
          <w:lang w:eastAsia="ru-RU"/>
        </w:rPr>
        <w:t xml:space="preserve">процентных пункта</w:t>
      </w:r>
      <w:r>
        <w:rPr>
          <w:sz w:val="28"/>
          <w:szCs w:val="28"/>
          <w:highlight w:val="white"/>
          <w:lang w:eastAsia="ru-RU"/>
        </w:rPr>
        <w:t xml:space="preserve"> (РФ-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08,1</w:t>
      </w:r>
      <w:r>
        <w:rPr>
          <w:sz w:val="28"/>
          <w:szCs w:val="28"/>
          <w:highlight w:val="white"/>
          <w:lang w:eastAsia="ru-RU"/>
        </w:rPr>
        <w:t xml:space="preserve"> %).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Доля отрасли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в общем</w:t>
      </w:r>
      <w:r>
        <w:rPr>
          <w:sz w:val="28"/>
          <w:szCs w:val="28"/>
          <w:highlight w:val="white"/>
          <w:lang w:eastAsia="ru-RU"/>
        </w:rPr>
        <w:t xml:space="preserve"> объеме пр</w:t>
      </w:r>
      <w:r>
        <w:rPr>
          <w:sz w:val="28"/>
          <w:szCs w:val="28"/>
          <w:highlight w:val="white"/>
          <w:lang w:eastAsia="ru-RU"/>
        </w:rPr>
        <w:t xml:space="preserve">оизводства состав</w:t>
      </w:r>
      <w:r>
        <w:rPr>
          <w:sz w:val="28"/>
          <w:szCs w:val="28"/>
          <w:highlight w:val="white"/>
          <w:lang w:eastAsia="ru-RU"/>
        </w:rPr>
        <w:t xml:space="preserve">ила </w:t>
      </w:r>
      <w:r>
        <w:rPr>
          <w:sz w:val="28"/>
          <w:szCs w:val="28"/>
          <w:highlight w:val="white"/>
          <w:lang w:eastAsia="ru-RU"/>
        </w:rPr>
        <w:t xml:space="preserve">5</w:t>
      </w:r>
      <w:r>
        <w:rPr>
          <w:sz w:val="28"/>
          <w:szCs w:val="28"/>
          <w:highlight w:val="white"/>
          <w:lang w:eastAsia="ru-RU"/>
        </w:rPr>
        <w:t xml:space="preserve">6,9</w:t>
      </w:r>
      <w:r>
        <w:rPr>
          <w:sz w:val="28"/>
          <w:szCs w:val="28"/>
          <w:highlight w:val="white"/>
          <w:lang w:eastAsia="ru-RU"/>
        </w:rPr>
        <w:t xml:space="preserve">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3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46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электрического оборуд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ования – 105,7 %;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машин и оборудования, не включенных в другие группировки – 104,8 %;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автотранспортных средств, прицепов и полуприцепов – 143,9 %;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готовых металлических изделий – 125,6 %;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компьютеров, электронных и оптических изделий – 151,4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транспортных средств и оборудования – в 116,5 %;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ремонт и монтаж машин и оборудования – 108,3 %.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72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Помимо машиностроительного комплекса с положительными результатами закончили квартал такие отрасли как:</w:t>
      </w:r>
      <w:r>
        <w:rPr>
          <w:highlight w:val="white"/>
        </w:rPr>
      </w:r>
      <w:r>
        <w:rPr>
          <w:highlight w:val="white"/>
        </w:rPr>
      </w:r>
    </w:p>
    <w:p>
      <w:pPr>
        <w:pStyle w:val="846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одежды – 103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,1 %;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мебели – 103,9 %;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резиновых и пластмассовых изделий – 100,8 %;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дство бумаги и бумажных изделий – 105,3 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лекарственных средств и материалов, применяемых в медицинских целях – в 18,1 раз;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46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прочей неметаллической минерально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й продукции – 100,8 %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pStyle w:val="1003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sz w:val="28"/>
          <w:szCs w:val="28"/>
          <w:highlight w:val="white"/>
          <w:lang w:eastAsia="ru-RU"/>
        </w:rPr>
        <w:t xml:space="preserve"> высоким показателям по итогам восьми </w:t>
      </w:r>
      <w:r>
        <w:rPr>
          <w:sz w:val="28"/>
          <w:szCs w:val="28"/>
          <w:highlight w:val="white"/>
          <w:lang w:eastAsia="ru-RU"/>
        </w:rPr>
        <w:t xml:space="preserve">месяц</w:t>
      </w:r>
      <w:r>
        <w:rPr>
          <w:sz w:val="28"/>
          <w:szCs w:val="28"/>
          <w:highlight w:val="white"/>
          <w:lang w:eastAsia="ru-RU"/>
        </w:rPr>
        <w:t xml:space="preserve">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03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ПАО «Ижнефтемаш»,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ООО «ЛАДА Ижевский Автомобильный Завод», </w:t>
      </w:r>
      <w:r>
        <w:rPr>
          <w:color w:val="000000"/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«Элеконд», АО «СЭГЗ», ООО</w:t>
      </w:r>
      <w:r>
        <w:rPr>
          <w:sz w:val="28"/>
          <w:szCs w:val="28"/>
          <w:highlight w:val="white"/>
          <w:lang w:eastAsia="ru-RU"/>
        </w:rPr>
        <w:t xml:space="preserve"> «ИОМЗ»,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«Воткинский 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</w:t>
      </w:r>
      <w:r>
        <w:rPr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«Ижевский механический завод», </w:t>
      </w:r>
      <w:r>
        <w:rPr>
          <w:sz w:val="28"/>
          <w:szCs w:val="28"/>
          <w:highlight w:val="white"/>
          <w:lang w:eastAsia="ru-RU"/>
        </w:rPr>
        <w:t xml:space="preserve">АО «Концерн «Калашников»,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 «ЧМЗ», ООО «Завод Буммаш», </w:t>
      </w:r>
      <w:r>
        <w:rPr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</w:t>
      </w:r>
      <w:r>
        <w:rPr>
          <w:sz w:val="28"/>
          <w:szCs w:val="28"/>
          <w:highlight w:val="white"/>
          <w:lang w:eastAsia="ru-RU"/>
        </w:rPr>
        <w:t xml:space="preserve">ИЭМЗ «Купол», </w:t>
      </w:r>
      <w:r>
        <w:rPr>
          <w:sz w:val="28"/>
          <w:szCs w:val="28"/>
          <w:highlight w:val="white"/>
          <w:lang w:eastAsia="ru-RU"/>
        </w:rPr>
        <w:t xml:space="preserve">АО «Ижевский радиозавод»,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                              </w:t>
      </w:r>
      <w:r>
        <w:rPr>
          <w:sz w:val="28"/>
          <w:szCs w:val="28"/>
          <w:highlight w:val="white"/>
          <w:lang w:eastAsia="ru-RU"/>
        </w:rPr>
        <w:t xml:space="preserve">ООО «М</w:t>
      </w:r>
      <w:r>
        <w:rPr>
          <w:sz w:val="28"/>
          <w:szCs w:val="28"/>
          <w:highlight w:val="white"/>
          <w:lang w:eastAsia="ru-RU"/>
        </w:rPr>
        <w:t xml:space="preserve">ашиностроительный комплекс ЧМЗ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sz w:val="28"/>
          <w:szCs w:val="28"/>
          <w:highlight w:val="white"/>
          <w:lang w:eastAsia="ru-RU"/>
        </w:rPr>
        <w:t xml:space="preserve">                      </w:t>
      </w:r>
      <w:r>
        <w:rPr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sz w:val="28"/>
          <w:szCs w:val="28"/>
          <w:highlight w:val="white"/>
          <w:lang w:eastAsia="ru-RU"/>
        </w:rPr>
        <w:t xml:space="preserve">ООО «Новый дом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 ЗАО «Можхим», </w:t>
      </w:r>
      <w:r>
        <w:rPr>
          <w:sz w:val="28"/>
          <w:szCs w:val="28"/>
          <w:highlight w:val="white"/>
          <w:lang w:eastAsia="ru-RU"/>
        </w:rPr>
        <w:t xml:space="preserve">АО «КБЭ ХХI </w:t>
      </w:r>
      <w:r>
        <w:rPr>
          <w:sz w:val="28"/>
          <w:szCs w:val="28"/>
          <w:highlight w:val="white"/>
          <w:lang w:eastAsia="ru-RU"/>
        </w:rPr>
        <w:t xml:space="preserve">века</w:t>
      </w:r>
      <w:r>
        <w:rPr>
          <w:sz w:val="28"/>
          <w:szCs w:val="28"/>
          <w:highlight w:val="white"/>
          <w:lang w:eastAsia="ru-RU"/>
        </w:rPr>
        <w:t xml:space="preserve">», </w:t>
      </w:r>
      <w:r>
        <w:rPr>
          <w:sz w:val="28"/>
          <w:szCs w:val="28"/>
          <w:highlight w:val="white"/>
          <w:lang w:eastAsia="ru-RU"/>
        </w:rPr>
        <w:t xml:space="preserve">АО «Свет»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1003"/>
        <w:ind w:firstLine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  <w:lang w:eastAsia="ru-RU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1003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Добыча полезных ископаемых в общем объеме производства составила 38 %, объем отгруженных товаров отрасли составил 296,5 млрд. рублей, темп роста к соответствующему периоду 2023 года – 148,2 %.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Индекс промышленного производства (ИПП) по добыче полезных ископаемых в Удмуртской Республике составил 97,8 %. По «Добыче полезных ископаемых» Удмуртская Республика на 5 месте в ПФО.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От проблемы до результата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highlight w:val="white"/>
        </w:rPr>
      </w:r>
    </w:p>
    <w:p>
      <w:pPr>
        <w:ind w:left="0" w:right="0" w:firstLine="72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 течении шести месяцев внедрялись инструменты бережливого производства на двух предприятиях в рамках национального проекта «Производительность труда», пришло время подводить итоги.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ООО ТК«Энергобаланс» 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Проблематика: проведение расчетов себестоимости и формирование коммерческого предложения клиенту в отделе продаж ЛДСП и ДСП.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Решение: 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46"/>
        <w:numPr>
          <w:ilvl w:val="0"/>
          <w:numId w:val="61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обучение 8 основным инструментам бережливого производства,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1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 внутренних инструктора по бережливому производству прошли сертификацию,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1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сформированы стандарты отработки возражений, поступающих от клиентов.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Результат: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46"/>
        <w:numPr>
          <w:ilvl w:val="0"/>
          <w:numId w:val="62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на 11,7%  сократилось время обработки заявки от клиента без переноса сроков,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2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на 14,2% увеличилась выработка на одного сотрудника,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2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на 33% снизилось количество необработанных документов,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2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более 4 млн. рублей составил  ежегодный экономический эффект в результате внедрения бережливого производства.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АО «УК «Промтехкомплект» 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Проблематика: изготовление стеклопластиковой насосной штанги на этапе  сборки. 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Решение: 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46"/>
        <w:numPr>
          <w:ilvl w:val="0"/>
          <w:numId w:val="63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обучение 8 основным инструментам бережливого производства,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3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2 внутренних инструктора по бережливому производству прошли сертификацию,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3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утвержден специнструмент для удаления облоя, приобретена специальная тара для химических веществ, разработаны стандарты по обслуживанию оборудованию.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Результат:</w:t>
      </w:r>
      <w:r>
        <w:rPr>
          <w:color w:val="000000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846"/>
        <w:numPr>
          <w:ilvl w:val="0"/>
          <w:numId w:val="64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116 м до 2 м сокращено перемещение между участком сборки и складом комплектующих, организовано удобное хранения комплектующих на участке сборки,  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4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на 10,3% сократилось время на сборку штанги, 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4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на 11,3% % увеличилась выработка на одного сотрудника,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46"/>
        <w:numPr>
          <w:ilvl w:val="0"/>
          <w:numId w:val="64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на 18,1% сократилось количество межоперационных запасов незавершенного производства.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следующем году 8 предприятий республики смогут повысить эффективность своих производственных процессов. Подать заявку можно на официальном сайте производительность.рф . Участие бесплатное.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Электричество и водород – движение в экологичное будущее!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С 2021 года Минэкономразвития России реализует проект «Электроавтомобиль и водородный автомобиль».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Целью федерального проекта являются: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65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Создание линейки транспортных средств категорий M1, M2, M3, N1, N2, N3, L7 с улучшенными показателями энергоэффективности и экологичности, работающих на альтернативных источниках энергии;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65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Создание зарядной (заправочной) инфраструктуры с целью достижения доли не менее 10% в общем объеме производства транспортных средств Российской Федерации в 2030 году.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На сегодняшний день: 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66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Произведено более 11 тысяч штук российских электромобилей;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66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Организован бесплатный проезд электромобилей по платным участкам федеральных автомобильных дорог;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66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В ряде субъектов Российской Федерации предоставлены региональные льготы (по уплате транспортного налога, оплате городской парковки).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С целью поддержки отечественных производителей электротранспортных средств предоставляется субсидия в размере 925 тыс. рублей при приобретении электромобилей в рамках программ льготного автокредитования и льготного автолизинга.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Федеральный проект «Электроавтомобиль и водородный автомобиль» – это возможность для развития экономического рынка, внедрение инноваций, а также улучшения экологии.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ООО «Производственное объединение «Камбарский машиностроительный завод» в рамках экспортного контракта отправило подвижной состав колеи 750 мм в Казахстан!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 состав входят: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- Тепловоз ТУ10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- Два пассажирских вагона ВП750 ДИТС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- Вагон-дилижанс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Этот подвижной состав будет использоваться на детской железной дороге в городе Семей в Республике Казахстан.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</w:pPr>
      <w:r>
        <w:rPr>
          <w:b/>
          <w:bCs/>
          <w:color w:val="000000"/>
          <w:sz w:val="28"/>
          <w:szCs w:val="28"/>
          <w:highlight w:val="none"/>
        </w:rPr>
        <w:t xml:space="preserve">Товары для строительства и ремонта, медицинские расходные материалы, швейная фурнитура, военная посуда и бронежилеты - как вы думаете, что все это объединяет?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Это всё направления деятельности активно развивающегося предприятия Удмуртской Республики - ООО «Локопласт»!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Предприятие ведет работу в следующих направлениях: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68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Переработка пластика в инновационные экологические товары для ремонта, отделки и строительства;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68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Литье товаров для различных сфер деятельности: медицинские расходные материалы, швейная фурнитура, системы быстрого сброса, тактические очки;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68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Пошив бронежилетов, противоосколочной защиты и профессиональной военной экипировки;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68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Производство военной посуды из листового алюминия методом штамповки - котелков, фляжек и другие виды продукции.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На предприятии также проходят трудовую реабилитацию сотрудники с ограниченными возможностями здоровья.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91 год успеха: легендарный путь АО «Ижевский мотозавод «Аксион-холдинг»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История АО «Ижевский мотозавод «Аксион-холдинг» началась с 1933 года с разработки и серийного производства первых отечественных мотоциклов «ИЖ».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Во время Великой Отечественной войны на Ижевском мотозаводе № 524 изготовлено 82 тысячи пулеметов «Максим». Предприятие участвовало в изготовлении реактивных снарядов для легендарной «Катюши». Особой страницей в истории завода является разработка техническ</w:t>
      </w:r>
      <w:r>
        <w:rPr>
          <w:color w:val="000000"/>
          <w:sz w:val="28"/>
          <w:szCs w:val="28"/>
          <w:highlight w:val="none"/>
        </w:rPr>
        <w:t xml:space="preserve">ой документации и изготовление под руководством М.Т. Калашникова опытной партии (1500 штук) АК-47.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 50-х годах предприятие было перепрофилировано на производство наукоёмкой приборной техники. Ижевский мотозавод – участник космических программ «Восток», «Салют», «Мир», «Союз-Аполлон», «Буран – Энергия», МКС и других. Все полигоны, космодромы оснащались </w:t>
      </w:r>
      <w:r>
        <w:rPr>
          <w:color w:val="000000"/>
          <w:sz w:val="28"/>
          <w:szCs w:val="28"/>
          <w:highlight w:val="none"/>
        </w:rPr>
        <w:t xml:space="preserve">телеметрической техникой производства Мотозавода.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 60-е годы организован выпуск бортовой аппаратуры системы управления ракетных комплексов «Темп-С». Освоено производство счетно-решающих приборов для самоходных установок «Шилка», «Ваза», «Астра».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Предприятие награждено орденами Ленина (1961 г.), Трудового Красного Знамени (1970 г.), Октябрьской Революции (1976 г.). В 2008-м и 2018-м гг. «Аксион» отмечен Благодарностью Президента Российской Федерации.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  <w:t xml:space="preserve">На сегодняшний день «Аксион» выпускает различную технику специального назначения, а также востребованную гражданскую продукцию: медицинскую технику, энергосберегающее оборудование, товары народного потребления.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white"/>
        </w:rPr>
      </w:r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0"/>
      <w:rPr>
        <w:rStyle w:val="1048"/>
      </w:rPr>
      <w:framePr w:wrap="around" w:vAnchor="text" w:hAnchor="margin" w:xAlign="right" w:y="1"/>
    </w:pPr>
    <w:r>
      <w:rPr>
        <w:rStyle w:val="1048"/>
      </w:rPr>
      <w:fldChar w:fldCharType="begin"/>
    </w:r>
    <w:r>
      <w:rPr>
        <w:rStyle w:val="1048"/>
      </w:rPr>
      <w:instrText xml:space="preserve">PAGE  </w:instrText>
    </w:r>
    <w:r>
      <w:rPr>
        <w:rStyle w:val="1048"/>
      </w:rPr>
      <w:fldChar w:fldCharType="separate"/>
    </w:r>
    <w:r>
      <w:rPr>
        <w:rStyle w:val="1048"/>
      </w:rPr>
      <w:t xml:space="preserve">5</w:t>
    </w:r>
    <w:r>
      <w:rPr>
        <w:rStyle w:val="1048"/>
      </w:rPr>
      <w:fldChar w:fldCharType="end"/>
    </w:r>
    <w:r>
      <w:rPr>
        <w:rStyle w:val="1048"/>
      </w:rPr>
    </w:r>
    <w:r>
      <w:rPr>
        <w:rStyle w:val="1048"/>
      </w:rPr>
    </w:r>
  </w:p>
  <w:p>
    <w:pPr>
      <w:pStyle w:val="104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1003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8">
    <w:name w:val="Heading 1"/>
    <w:basedOn w:val="1003"/>
    <w:next w:val="1003"/>
    <w:link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link w:val="828"/>
    <w:uiPriority w:val="9"/>
    <w:rPr>
      <w:rFonts w:ascii="Arial" w:hAnsi="Arial" w:eastAsia="Arial" w:cs="Arial"/>
      <w:sz w:val="40"/>
      <w:szCs w:val="40"/>
    </w:rPr>
  </w:style>
  <w:style w:type="paragraph" w:styleId="830">
    <w:name w:val="Heading 2"/>
    <w:basedOn w:val="1003"/>
    <w:next w:val="1003"/>
    <w:link w:val="8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link w:val="830"/>
    <w:uiPriority w:val="9"/>
    <w:rPr>
      <w:rFonts w:ascii="Arial" w:hAnsi="Arial" w:eastAsia="Arial" w:cs="Arial"/>
      <w:sz w:val="34"/>
    </w:rPr>
  </w:style>
  <w:style w:type="paragraph" w:styleId="832">
    <w:name w:val="Heading 3"/>
    <w:basedOn w:val="1003"/>
    <w:next w:val="1003"/>
    <w:link w:val="8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link w:val="832"/>
    <w:uiPriority w:val="9"/>
    <w:rPr>
      <w:rFonts w:ascii="Arial" w:hAnsi="Arial" w:eastAsia="Arial" w:cs="Arial"/>
      <w:sz w:val="30"/>
      <w:szCs w:val="30"/>
    </w:rPr>
  </w:style>
  <w:style w:type="paragraph" w:styleId="834">
    <w:name w:val="Heading 4"/>
    <w:basedOn w:val="1003"/>
    <w:next w:val="1003"/>
    <w:link w:val="8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link w:val="834"/>
    <w:uiPriority w:val="9"/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1003"/>
    <w:next w:val="1003"/>
    <w:link w:val="8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link w:val="836"/>
    <w:uiPriority w:val="9"/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1003"/>
    <w:next w:val="1003"/>
    <w:link w:val="8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1003"/>
    <w:next w:val="1003"/>
    <w:link w:val="8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link w:val="8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1003"/>
    <w:next w:val="1003"/>
    <w:link w:val="8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link w:val="842"/>
    <w:uiPriority w:val="9"/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1003"/>
    <w:next w:val="1003"/>
    <w:link w:val="8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link w:val="844"/>
    <w:uiPriority w:val="9"/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1003"/>
    <w:uiPriority w:val="34"/>
    <w:qFormat/>
    <w:pPr>
      <w:contextualSpacing/>
      <w:ind w:left="720"/>
    </w:pPr>
  </w:style>
  <w:style w:type="paragraph" w:styleId="847">
    <w:name w:val="No Spacing"/>
    <w:uiPriority w:val="1"/>
    <w:qFormat/>
    <w:pPr>
      <w:spacing w:before="0" w:after="0" w:line="240" w:lineRule="auto"/>
    </w:pPr>
  </w:style>
  <w:style w:type="character" w:styleId="848">
    <w:name w:val="Title Char"/>
    <w:link w:val="1077"/>
    <w:uiPriority w:val="10"/>
    <w:rPr>
      <w:sz w:val="48"/>
      <w:szCs w:val="48"/>
    </w:rPr>
  </w:style>
  <w:style w:type="paragraph" w:styleId="849">
    <w:name w:val="Subtitle"/>
    <w:basedOn w:val="1003"/>
    <w:next w:val="1003"/>
    <w:link w:val="850"/>
    <w:uiPriority w:val="11"/>
    <w:qFormat/>
    <w:pPr>
      <w:spacing w:before="200" w:after="200"/>
    </w:pPr>
    <w:rPr>
      <w:sz w:val="24"/>
      <w:szCs w:val="24"/>
    </w:rPr>
  </w:style>
  <w:style w:type="character" w:styleId="850">
    <w:name w:val="Subtitle Char"/>
    <w:link w:val="849"/>
    <w:uiPriority w:val="11"/>
    <w:rPr>
      <w:sz w:val="24"/>
      <w:szCs w:val="24"/>
    </w:rPr>
  </w:style>
  <w:style w:type="paragraph" w:styleId="851">
    <w:name w:val="Quote"/>
    <w:basedOn w:val="1003"/>
    <w:next w:val="1003"/>
    <w:link w:val="852"/>
    <w:uiPriority w:val="29"/>
    <w:qFormat/>
    <w:pPr>
      <w:ind w:left="720" w:right="720"/>
    </w:pPr>
    <w:rPr>
      <w:i/>
    </w:rPr>
  </w:style>
  <w:style w:type="character" w:styleId="852">
    <w:name w:val="Quote Char"/>
    <w:link w:val="851"/>
    <w:uiPriority w:val="29"/>
    <w:rPr>
      <w:i/>
    </w:rPr>
  </w:style>
  <w:style w:type="paragraph" w:styleId="853">
    <w:name w:val="Intense Quote"/>
    <w:basedOn w:val="1003"/>
    <w:next w:val="1003"/>
    <w:link w:val="8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4">
    <w:name w:val="Intense Quote Char"/>
    <w:link w:val="853"/>
    <w:uiPriority w:val="30"/>
    <w:rPr>
      <w:i/>
    </w:rPr>
  </w:style>
  <w:style w:type="character" w:styleId="855">
    <w:name w:val="Header Char"/>
    <w:link w:val="1076"/>
    <w:uiPriority w:val="99"/>
  </w:style>
  <w:style w:type="paragraph" w:styleId="856">
    <w:name w:val="Footer"/>
    <w:basedOn w:val="1003"/>
    <w:link w:val="8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7">
    <w:name w:val="Footer Char"/>
    <w:link w:val="856"/>
    <w:uiPriority w:val="99"/>
  </w:style>
  <w:style w:type="character" w:styleId="858">
    <w:name w:val="Caption Char"/>
    <w:basedOn w:val="1081"/>
    <w:link w:val="856"/>
    <w:uiPriority w:val="99"/>
  </w:style>
  <w:style w:type="table" w:styleId="85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5">
    <w:name w:val="Hyperlink"/>
    <w:uiPriority w:val="99"/>
    <w:unhideWhenUsed/>
    <w:rPr>
      <w:color w:val="0000ff" w:themeColor="hyperlink"/>
      <w:u w:val="single"/>
    </w:rPr>
  </w:style>
  <w:style w:type="paragraph" w:styleId="986">
    <w:name w:val="footnote text"/>
    <w:basedOn w:val="1003"/>
    <w:link w:val="987"/>
    <w:uiPriority w:val="99"/>
    <w:semiHidden/>
    <w:unhideWhenUsed/>
    <w:pPr>
      <w:spacing w:after="40" w:line="240" w:lineRule="auto"/>
    </w:pPr>
    <w:rPr>
      <w:sz w:val="18"/>
    </w:rPr>
  </w:style>
  <w:style w:type="character" w:styleId="987">
    <w:name w:val="Footnote Text Char"/>
    <w:link w:val="986"/>
    <w:uiPriority w:val="99"/>
    <w:rPr>
      <w:sz w:val="18"/>
    </w:rPr>
  </w:style>
  <w:style w:type="character" w:styleId="988">
    <w:name w:val="footnote reference"/>
    <w:uiPriority w:val="99"/>
    <w:unhideWhenUsed/>
    <w:rPr>
      <w:vertAlign w:val="superscript"/>
    </w:rPr>
  </w:style>
  <w:style w:type="paragraph" w:styleId="989">
    <w:name w:val="endnote text"/>
    <w:basedOn w:val="1003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>
    <w:name w:val="Endnote Text Char"/>
    <w:link w:val="989"/>
    <w:uiPriority w:val="99"/>
    <w:rPr>
      <w:sz w:val="20"/>
    </w:rPr>
  </w:style>
  <w:style w:type="character" w:styleId="991">
    <w:name w:val="endnote reference"/>
    <w:uiPriority w:val="99"/>
    <w:semiHidden/>
    <w:unhideWhenUsed/>
    <w:rPr>
      <w:vertAlign w:val="superscript"/>
    </w:rPr>
  </w:style>
  <w:style w:type="paragraph" w:styleId="992">
    <w:name w:val="toc 1"/>
    <w:basedOn w:val="1003"/>
    <w:next w:val="1003"/>
    <w:uiPriority w:val="39"/>
    <w:unhideWhenUsed/>
    <w:pPr>
      <w:ind w:left="0" w:right="0" w:firstLine="0"/>
      <w:spacing w:after="57"/>
    </w:pPr>
  </w:style>
  <w:style w:type="paragraph" w:styleId="993">
    <w:name w:val="toc 2"/>
    <w:basedOn w:val="1003"/>
    <w:next w:val="1003"/>
    <w:uiPriority w:val="39"/>
    <w:unhideWhenUsed/>
    <w:pPr>
      <w:ind w:left="283" w:right="0" w:firstLine="0"/>
      <w:spacing w:after="57"/>
    </w:pPr>
  </w:style>
  <w:style w:type="paragraph" w:styleId="994">
    <w:name w:val="toc 3"/>
    <w:basedOn w:val="1003"/>
    <w:next w:val="1003"/>
    <w:uiPriority w:val="39"/>
    <w:unhideWhenUsed/>
    <w:pPr>
      <w:ind w:left="567" w:right="0" w:firstLine="0"/>
      <w:spacing w:after="57"/>
    </w:pPr>
  </w:style>
  <w:style w:type="paragraph" w:styleId="995">
    <w:name w:val="toc 4"/>
    <w:basedOn w:val="1003"/>
    <w:next w:val="1003"/>
    <w:uiPriority w:val="39"/>
    <w:unhideWhenUsed/>
    <w:pPr>
      <w:ind w:left="850" w:right="0" w:firstLine="0"/>
      <w:spacing w:after="57"/>
    </w:pPr>
  </w:style>
  <w:style w:type="paragraph" w:styleId="996">
    <w:name w:val="toc 5"/>
    <w:basedOn w:val="1003"/>
    <w:next w:val="1003"/>
    <w:uiPriority w:val="39"/>
    <w:unhideWhenUsed/>
    <w:pPr>
      <w:ind w:left="1134" w:right="0" w:firstLine="0"/>
      <w:spacing w:after="57"/>
    </w:pPr>
  </w:style>
  <w:style w:type="paragraph" w:styleId="997">
    <w:name w:val="toc 6"/>
    <w:basedOn w:val="1003"/>
    <w:next w:val="1003"/>
    <w:uiPriority w:val="39"/>
    <w:unhideWhenUsed/>
    <w:pPr>
      <w:ind w:left="1417" w:right="0" w:firstLine="0"/>
      <w:spacing w:after="57"/>
    </w:pPr>
  </w:style>
  <w:style w:type="paragraph" w:styleId="998">
    <w:name w:val="toc 7"/>
    <w:basedOn w:val="1003"/>
    <w:next w:val="1003"/>
    <w:uiPriority w:val="39"/>
    <w:unhideWhenUsed/>
    <w:pPr>
      <w:ind w:left="1701" w:right="0" w:firstLine="0"/>
      <w:spacing w:after="57"/>
    </w:pPr>
  </w:style>
  <w:style w:type="paragraph" w:styleId="999">
    <w:name w:val="toc 8"/>
    <w:basedOn w:val="1003"/>
    <w:next w:val="1003"/>
    <w:uiPriority w:val="39"/>
    <w:unhideWhenUsed/>
    <w:pPr>
      <w:ind w:left="1984" w:right="0" w:firstLine="0"/>
      <w:spacing w:after="57"/>
    </w:pPr>
  </w:style>
  <w:style w:type="paragraph" w:styleId="1000">
    <w:name w:val="toc 9"/>
    <w:basedOn w:val="1003"/>
    <w:next w:val="1003"/>
    <w:uiPriority w:val="39"/>
    <w:unhideWhenUsed/>
    <w:pPr>
      <w:ind w:left="2268" w:right="0" w:firstLine="0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next w:val="1003"/>
    <w:link w:val="1003"/>
    <w:qFormat/>
    <w:rPr>
      <w:lang w:val="ru-RU" w:eastAsia="ar-SA" w:bidi="ar-SA"/>
    </w:rPr>
  </w:style>
  <w:style w:type="paragraph" w:styleId="1004">
    <w:name w:val="Заголовок 1"/>
    <w:basedOn w:val="1003"/>
    <w:next w:val="1003"/>
    <w:link w:val="1071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05">
    <w:name w:val="Заголовок 2"/>
    <w:basedOn w:val="1003"/>
    <w:next w:val="1005"/>
    <w:link w:val="1069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1006">
    <w:name w:val="Заголовок 3"/>
    <w:basedOn w:val="1003"/>
    <w:next w:val="1003"/>
    <w:link w:val="1074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1007">
    <w:name w:val="Заголовок 4"/>
    <w:basedOn w:val="1003"/>
    <w:next w:val="1003"/>
    <w:link w:val="1073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1008">
    <w:name w:val="Основной шрифт абзаца"/>
    <w:next w:val="1008"/>
    <w:link w:val="1003"/>
    <w:semiHidden/>
  </w:style>
  <w:style w:type="table" w:styleId="1009">
    <w:name w:val="Обычная таблица"/>
    <w:next w:val="1009"/>
    <w:link w:val="1003"/>
    <w:uiPriority w:val="99"/>
    <w:semiHidden/>
    <w:unhideWhenUsed/>
    <w:tblPr/>
  </w:style>
  <w:style w:type="numbering" w:styleId="1010">
    <w:name w:val="Нет списка"/>
    <w:next w:val="1010"/>
    <w:link w:val="1003"/>
    <w:uiPriority w:val="99"/>
    <w:semiHidden/>
    <w:unhideWhenUsed/>
  </w:style>
  <w:style w:type="character" w:styleId="1011">
    <w:name w:val="Основной шрифт абзаца6"/>
    <w:next w:val="1011"/>
    <w:link w:val="1003"/>
  </w:style>
  <w:style w:type="character" w:styleId="1012">
    <w:name w:val="Основной шрифт абзаца5"/>
    <w:next w:val="1012"/>
    <w:link w:val="1003"/>
  </w:style>
  <w:style w:type="character" w:styleId="1013">
    <w:name w:val="Основной шрифт абзаца4"/>
    <w:next w:val="1013"/>
    <w:link w:val="1003"/>
  </w:style>
  <w:style w:type="character" w:styleId="1014">
    <w:name w:val="Absatz-Standardschriftart"/>
    <w:next w:val="1014"/>
    <w:link w:val="1003"/>
  </w:style>
  <w:style w:type="character" w:styleId="1015">
    <w:name w:val="WW-Absatz-Standardschriftart"/>
    <w:next w:val="1015"/>
    <w:link w:val="1003"/>
  </w:style>
  <w:style w:type="character" w:styleId="1016">
    <w:name w:val="Основной шрифт абзаца3"/>
    <w:next w:val="1016"/>
    <w:link w:val="1003"/>
  </w:style>
  <w:style w:type="character" w:styleId="1017">
    <w:name w:val="WW-Absatz-Standardschriftart1"/>
    <w:next w:val="1017"/>
    <w:link w:val="1003"/>
  </w:style>
  <w:style w:type="character" w:styleId="1018">
    <w:name w:val="Основной шрифт абзаца2"/>
    <w:next w:val="1018"/>
    <w:link w:val="1003"/>
  </w:style>
  <w:style w:type="character" w:styleId="1019">
    <w:name w:val="WW-Absatz-Standardschriftart11"/>
    <w:next w:val="1019"/>
    <w:link w:val="1003"/>
  </w:style>
  <w:style w:type="character" w:styleId="1020">
    <w:name w:val="Основной шрифт абзаца1"/>
    <w:next w:val="1020"/>
    <w:link w:val="1003"/>
  </w:style>
  <w:style w:type="character" w:styleId="1021">
    <w:name w:val="Îñíîâíîé øðèôò"/>
    <w:next w:val="1021"/>
    <w:link w:val="1003"/>
  </w:style>
  <w:style w:type="character" w:styleId="1022">
    <w:name w:val="Гиперссылка"/>
    <w:next w:val="1022"/>
    <w:link w:val="1003"/>
    <w:uiPriority w:val="99"/>
    <w:semiHidden/>
    <w:rPr>
      <w:color w:val="0000ff"/>
      <w:u w:val="single"/>
    </w:rPr>
  </w:style>
  <w:style w:type="character" w:styleId="1023">
    <w:name w:val="Просмотренная гиперссылка"/>
    <w:next w:val="1023"/>
    <w:link w:val="1003"/>
    <w:semiHidden/>
    <w:rPr>
      <w:color w:val="800080"/>
      <w:u w:val="single"/>
    </w:rPr>
  </w:style>
  <w:style w:type="paragraph" w:styleId="1024">
    <w:name w:val="Заголовок"/>
    <w:basedOn w:val="1003"/>
    <w:next w:val="1025"/>
    <w:link w:val="1003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25">
    <w:name w:val="Основной текст"/>
    <w:basedOn w:val="1003"/>
    <w:next w:val="1025"/>
    <w:link w:val="1003"/>
    <w:semiHidden/>
    <w:rPr>
      <w:sz w:val="28"/>
    </w:rPr>
  </w:style>
  <w:style w:type="paragraph" w:styleId="1026">
    <w:name w:val="Список"/>
    <w:basedOn w:val="1025"/>
    <w:next w:val="1026"/>
    <w:link w:val="1003"/>
    <w:semiHidden/>
    <w:rPr>
      <w:rFonts w:ascii="Arial" w:hAnsi="Arial" w:cs="Tahoma"/>
    </w:rPr>
  </w:style>
  <w:style w:type="paragraph" w:styleId="1027">
    <w:name w:val="Название6"/>
    <w:basedOn w:val="1003"/>
    <w:next w:val="1027"/>
    <w:link w:val="100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28">
    <w:name w:val="Указатель6"/>
    <w:basedOn w:val="1003"/>
    <w:next w:val="1028"/>
    <w:link w:val="1003"/>
    <w:pPr>
      <w:suppressLineNumbers/>
    </w:pPr>
    <w:rPr>
      <w:rFonts w:ascii="Arial" w:hAnsi="Arial" w:cs="Tahoma"/>
    </w:rPr>
  </w:style>
  <w:style w:type="paragraph" w:styleId="1029">
    <w:name w:val="Название5"/>
    <w:basedOn w:val="1003"/>
    <w:next w:val="1029"/>
    <w:link w:val="100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0">
    <w:name w:val="Указатель5"/>
    <w:basedOn w:val="1003"/>
    <w:next w:val="1030"/>
    <w:link w:val="1003"/>
    <w:pPr>
      <w:suppressLineNumbers/>
    </w:pPr>
    <w:rPr>
      <w:rFonts w:ascii="Arial" w:hAnsi="Arial" w:cs="Tahoma"/>
    </w:rPr>
  </w:style>
  <w:style w:type="paragraph" w:styleId="1031">
    <w:name w:val="Название4"/>
    <w:basedOn w:val="1003"/>
    <w:next w:val="1031"/>
    <w:link w:val="100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2">
    <w:name w:val="Указатель4"/>
    <w:basedOn w:val="1003"/>
    <w:next w:val="1032"/>
    <w:link w:val="1003"/>
    <w:pPr>
      <w:suppressLineNumbers/>
    </w:pPr>
    <w:rPr>
      <w:rFonts w:ascii="Arial" w:hAnsi="Arial" w:cs="Tahoma"/>
    </w:rPr>
  </w:style>
  <w:style w:type="paragraph" w:styleId="1033">
    <w:name w:val="Название3"/>
    <w:basedOn w:val="1003"/>
    <w:next w:val="1033"/>
    <w:link w:val="100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4">
    <w:name w:val="Указатель3"/>
    <w:basedOn w:val="1003"/>
    <w:next w:val="1034"/>
    <w:link w:val="1003"/>
    <w:pPr>
      <w:suppressLineNumbers/>
    </w:pPr>
    <w:rPr>
      <w:rFonts w:ascii="Arial" w:hAnsi="Arial" w:cs="Tahoma"/>
    </w:rPr>
  </w:style>
  <w:style w:type="paragraph" w:styleId="1035">
    <w:name w:val="Название2"/>
    <w:basedOn w:val="1003"/>
    <w:next w:val="1035"/>
    <w:link w:val="100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6">
    <w:name w:val="Указатель2"/>
    <w:basedOn w:val="1003"/>
    <w:next w:val="1036"/>
    <w:link w:val="1003"/>
    <w:pPr>
      <w:suppressLineNumbers/>
    </w:pPr>
    <w:rPr>
      <w:rFonts w:ascii="Arial" w:hAnsi="Arial" w:cs="Tahoma"/>
    </w:rPr>
  </w:style>
  <w:style w:type="paragraph" w:styleId="1037">
    <w:name w:val="Название1"/>
    <w:basedOn w:val="1003"/>
    <w:next w:val="1037"/>
    <w:link w:val="100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38">
    <w:name w:val="Указатель1"/>
    <w:basedOn w:val="1003"/>
    <w:next w:val="1038"/>
    <w:link w:val="1003"/>
    <w:pPr>
      <w:suppressLineNumbers/>
    </w:pPr>
    <w:rPr>
      <w:rFonts w:ascii="Arial" w:hAnsi="Arial" w:cs="Tahoma"/>
    </w:rPr>
  </w:style>
  <w:style w:type="paragraph" w:styleId="1039">
    <w:name w:val="Верхний колонтитул"/>
    <w:basedOn w:val="1003"/>
    <w:next w:val="1039"/>
    <w:link w:val="1046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40">
    <w:name w:val="Нижний колонтитул"/>
    <w:basedOn w:val="1003"/>
    <w:next w:val="1040"/>
    <w:link w:val="1047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41">
    <w:name w:val="Текст выноски"/>
    <w:basedOn w:val="1003"/>
    <w:next w:val="1041"/>
    <w:link w:val="1003"/>
    <w:rPr>
      <w:rFonts w:ascii="Tahoma" w:hAnsi="Tahoma" w:cs="Tahoma"/>
      <w:sz w:val="16"/>
      <w:szCs w:val="16"/>
    </w:rPr>
  </w:style>
  <w:style w:type="paragraph" w:styleId="1042">
    <w:name w:val="Содержимое таблицы"/>
    <w:basedOn w:val="1003"/>
    <w:next w:val="1042"/>
    <w:link w:val="1003"/>
    <w:pPr>
      <w:suppressLineNumbers/>
    </w:pPr>
  </w:style>
  <w:style w:type="paragraph" w:styleId="1043">
    <w:name w:val="Заголовок таблицы"/>
    <w:basedOn w:val="1042"/>
    <w:next w:val="1043"/>
    <w:link w:val="1003"/>
    <w:pPr>
      <w:jc w:val="center"/>
      <w:suppressLineNumbers/>
    </w:pPr>
    <w:rPr>
      <w:b/>
      <w:bCs/>
    </w:rPr>
  </w:style>
  <w:style w:type="paragraph" w:styleId="1044">
    <w:name w:val="Содержимое врезки"/>
    <w:basedOn w:val="1025"/>
    <w:next w:val="1044"/>
    <w:link w:val="1003"/>
  </w:style>
  <w:style w:type="table" w:styleId="1045">
    <w:name w:val="Сетка таблицы"/>
    <w:basedOn w:val="1009"/>
    <w:next w:val="1045"/>
    <w:link w:val="1003"/>
    <w:tblPr/>
  </w:style>
  <w:style w:type="character" w:styleId="1046">
    <w:name w:val="Верхний колонтитул Знак"/>
    <w:next w:val="1046"/>
    <w:link w:val="1039"/>
    <w:rPr>
      <w:lang w:eastAsia="ar-SA"/>
    </w:rPr>
  </w:style>
  <w:style w:type="character" w:styleId="1047">
    <w:name w:val="Нижний колонтитул Знак"/>
    <w:next w:val="1047"/>
    <w:link w:val="1040"/>
    <w:rPr>
      <w:lang w:eastAsia="ar-SA"/>
    </w:rPr>
  </w:style>
  <w:style w:type="character" w:styleId="1048">
    <w:name w:val="Номер страницы"/>
    <w:basedOn w:val="1008"/>
    <w:next w:val="1048"/>
    <w:link w:val="1003"/>
  </w:style>
  <w:style w:type="character" w:styleId="1049">
    <w:name w:val="Основной текст + 16,5 pt2,Курсив1,Основной текст + 10"/>
    <w:next w:val="1049"/>
    <w:link w:val="1003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50">
    <w:name w:val="Основной текст (3)_"/>
    <w:next w:val="1050"/>
    <w:link w:val="1051"/>
    <w:rPr>
      <w:sz w:val="22"/>
      <w:szCs w:val="22"/>
      <w:shd w:val="clear" w:color="auto" w:fill="ffffff"/>
    </w:rPr>
  </w:style>
  <w:style w:type="paragraph" w:styleId="1051">
    <w:name w:val="Основной текст (3)"/>
    <w:basedOn w:val="1003"/>
    <w:next w:val="1051"/>
    <w:link w:val="1050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52">
    <w:name w:val="Без интервала"/>
    <w:next w:val="1052"/>
    <w:link w:val="100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53">
    <w:name w:val="Font Style13"/>
    <w:next w:val="1053"/>
    <w:link w:val="1003"/>
    <w:rPr>
      <w:rFonts w:ascii="Times New Roman" w:hAnsi="Times New Roman" w:cs="Times New Roman"/>
      <w:sz w:val="26"/>
      <w:szCs w:val="26"/>
    </w:rPr>
  </w:style>
  <w:style w:type="paragraph" w:styleId="1054">
    <w:name w:val="Обычный (веб)"/>
    <w:basedOn w:val="1003"/>
    <w:next w:val="1054"/>
    <w:link w:val="100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55">
    <w:name w:val="apple-converted-space"/>
    <w:next w:val="1055"/>
    <w:link w:val="1003"/>
  </w:style>
  <w:style w:type="character" w:styleId="1056">
    <w:name w:val="Font Style18"/>
    <w:next w:val="1056"/>
    <w:link w:val="1003"/>
    <w:uiPriority w:val="99"/>
    <w:rPr>
      <w:rFonts w:ascii="Times New Roman" w:hAnsi="Times New Roman" w:cs="Times New Roman"/>
      <w:sz w:val="26"/>
      <w:szCs w:val="26"/>
    </w:rPr>
  </w:style>
  <w:style w:type="paragraph" w:styleId="1057">
    <w:name w:val="Основной текст с отступом"/>
    <w:basedOn w:val="1003"/>
    <w:next w:val="1057"/>
    <w:link w:val="1058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58">
    <w:name w:val="Основной текст с отступом Знак"/>
    <w:next w:val="1058"/>
    <w:link w:val="1057"/>
    <w:uiPriority w:val="99"/>
    <w:rPr>
      <w:color w:val="000000"/>
      <w:sz w:val="28"/>
      <w:szCs w:val="28"/>
      <w:lang w:eastAsia="ar-SA"/>
    </w:rPr>
  </w:style>
  <w:style w:type="paragraph" w:styleId="1059">
    <w:name w:val="ConsPlusNormal"/>
    <w:next w:val="1059"/>
    <w:link w:val="106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60">
    <w:name w:val="ConsPlusNormal Знак"/>
    <w:next w:val="1060"/>
    <w:link w:val="1059"/>
    <w:rPr>
      <w:rFonts w:ascii="Arial" w:hAnsi="Arial" w:cs="Arial"/>
      <w:lang w:val="ru-RU" w:eastAsia="ru-RU" w:bidi="ar-SA"/>
    </w:rPr>
  </w:style>
  <w:style w:type="paragraph" w:styleId="1061">
    <w:name w:val="Основной текст с отступом 2"/>
    <w:basedOn w:val="1003"/>
    <w:next w:val="1061"/>
    <w:link w:val="1062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62">
    <w:name w:val="Основной текст с отступом 2 Знак"/>
    <w:next w:val="1062"/>
    <w:link w:val="1061"/>
    <w:uiPriority w:val="99"/>
    <w:rPr>
      <w:color w:val="000000"/>
      <w:sz w:val="26"/>
      <w:szCs w:val="26"/>
      <w:lang w:eastAsia="ar-SA"/>
    </w:rPr>
  </w:style>
  <w:style w:type="character" w:styleId="1063">
    <w:name w:val="Знак примечания"/>
    <w:next w:val="1063"/>
    <w:link w:val="1003"/>
    <w:uiPriority w:val="99"/>
    <w:semiHidden/>
    <w:unhideWhenUsed/>
    <w:rPr>
      <w:sz w:val="16"/>
      <w:szCs w:val="16"/>
    </w:rPr>
  </w:style>
  <w:style w:type="paragraph" w:styleId="1064">
    <w:name w:val="Текст примечания"/>
    <w:basedOn w:val="1003"/>
    <w:next w:val="1064"/>
    <w:link w:val="1065"/>
    <w:uiPriority w:val="99"/>
    <w:semiHidden/>
    <w:unhideWhenUsed/>
  </w:style>
  <w:style w:type="character" w:styleId="1065">
    <w:name w:val="Текст примечания Знак"/>
    <w:next w:val="1065"/>
    <w:link w:val="1064"/>
    <w:uiPriority w:val="99"/>
    <w:semiHidden/>
    <w:rPr>
      <w:lang w:eastAsia="ar-SA"/>
    </w:rPr>
  </w:style>
  <w:style w:type="paragraph" w:styleId="1066">
    <w:name w:val="Тема примечания"/>
    <w:basedOn w:val="1064"/>
    <w:next w:val="1064"/>
    <w:link w:val="1067"/>
    <w:uiPriority w:val="99"/>
    <w:semiHidden/>
    <w:unhideWhenUsed/>
    <w:rPr>
      <w:b/>
      <w:bCs/>
    </w:rPr>
  </w:style>
  <w:style w:type="character" w:styleId="1067">
    <w:name w:val="Тема примечания Знак"/>
    <w:next w:val="1067"/>
    <w:link w:val="1066"/>
    <w:uiPriority w:val="99"/>
    <w:semiHidden/>
    <w:rPr>
      <w:b/>
      <w:bCs/>
      <w:lang w:eastAsia="ar-SA"/>
    </w:rPr>
  </w:style>
  <w:style w:type="character" w:styleId="1068">
    <w:name w:val="Строгий"/>
    <w:next w:val="1068"/>
    <w:link w:val="1003"/>
    <w:uiPriority w:val="22"/>
    <w:qFormat/>
    <w:rPr>
      <w:b/>
      <w:bCs/>
    </w:rPr>
  </w:style>
  <w:style w:type="character" w:styleId="1069">
    <w:name w:val="Заголовок 2 Знак"/>
    <w:next w:val="1069"/>
    <w:link w:val="1005"/>
    <w:uiPriority w:val="9"/>
    <w:rPr>
      <w:b/>
      <w:bCs/>
      <w:sz w:val="36"/>
      <w:szCs w:val="36"/>
    </w:rPr>
  </w:style>
  <w:style w:type="paragraph" w:styleId="1070">
    <w:name w:val="paragraph"/>
    <w:basedOn w:val="1003"/>
    <w:next w:val="1070"/>
    <w:link w:val="100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1">
    <w:name w:val="Заголовок 1 Знак"/>
    <w:next w:val="1071"/>
    <w:link w:val="1004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72">
    <w:name w:val="b-article__text"/>
    <w:basedOn w:val="1003"/>
    <w:next w:val="1072"/>
    <w:link w:val="100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3">
    <w:name w:val="Заголовок 4 Знак"/>
    <w:next w:val="1073"/>
    <w:link w:val="1007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74">
    <w:name w:val="Заголовок 3 Знак"/>
    <w:next w:val="1074"/>
    <w:link w:val="1006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75">
    <w:name w:val="Абзац списка"/>
    <w:basedOn w:val="1003"/>
    <w:next w:val="1075"/>
    <w:link w:val="1003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6">
    <w:name w:val="Header"/>
    <w:next w:val="1076"/>
    <w:link w:val="1003"/>
  </w:style>
  <w:style w:type="character" w:styleId="1077">
    <w:name w:val="Title"/>
    <w:next w:val="1077"/>
    <w:link w:val="1003"/>
  </w:style>
  <w:style w:type="character" w:styleId="1078">
    <w:name w:val="dashed"/>
    <w:next w:val="1078"/>
    <w:link w:val="1003"/>
  </w:style>
  <w:style w:type="character" w:styleId="1079">
    <w:name w:val="buttons"/>
    <w:next w:val="1079"/>
    <w:link w:val="1003"/>
  </w:style>
  <w:style w:type="paragraph" w:styleId="1080">
    <w:name w:val="float"/>
    <w:basedOn w:val="1003"/>
    <w:next w:val="1080"/>
    <w:link w:val="100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81">
    <w:name w:val="Caption"/>
    <w:next w:val="1081"/>
    <w:link w:val="1003"/>
  </w:style>
  <w:style w:type="character" w:styleId="1082">
    <w:name w:val="time"/>
    <w:next w:val="1082"/>
    <w:link w:val="1003"/>
  </w:style>
  <w:style w:type="character" w:styleId="1083">
    <w:name w:val="i18n"/>
    <w:next w:val="1083"/>
    <w:link w:val="1003"/>
  </w:style>
  <w:style w:type="paragraph" w:styleId="1084">
    <w:name w:val="z-Начало формы"/>
    <w:basedOn w:val="1003"/>
    <w:next w:val="1003"/>
    <w:link w:val="1085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85">
    <w:name w:val="z-Начало формы Знак"/>
    <w:next w:val="1085"/>
    <w:link w:val="1084"/>
    <w:uiPriority w:val="99"/>
    <w:semiHidden/>
    <w:rPr>
      <w:rFonts w:ascii="Arial" w:hAnsi="Arial" w:cs="Arial"/>
      <w:vanish/>
      <w:sz w:val="16"/>
      <w:szCs w:val="16"/>
    </w:rPr>
  </w:style>
  <w:style w:type="paragraph" w:styleId="1086">
    <w:name w:val="z-Конец формы"/>
    <w:basedOn w:val="1003"/>
    <w:next w:val="1003"/>
    <w:link w:val="1087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87">
    <w:name w:val="z-Конец формы Знак"/>
    <w:next w:val="1087"/>
    <w:link w:val="1086"/>
    <w:uiPriority w:val="99"/>
    <w:semiHidden/>
    <w:rPr>
      <w:rFonts w:ascii="Arial" w:hAnsi="Arial" w:cs="Arial"/>
      <w:vanish/>
      <w:sz w:val="16"/>
      <w:szCs w:val="16"/>
    </w:rPr>
  </w:style>
  <w:style w:type="character" w:styleId="1088">
    <w:name w:val="message-time"/>
    <w:next w:val="1088"/>
    <w:link w:val="1003"/>
  </w:style>
  <w:style w:type="character" w:styleId="1089" w:default="1">
    <w:name w:val="Default Paragraph Font"/>
    <w:uiPriority w:val="1"/>
    <w:semiHidden/>
    <w:unhideWhenUsed/>
  </w:style>
  <w:style w:type="numbering" w:styleId="1090" w:default="1">
    <w:name w:val="No List"/>
    <w:uiPriority w:val="99"/>
    <w:semiHidden/>
    <w:unhideWhenUsed/>
  </w:style>
  <w:style w:type="table" w:styleId="10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revision>47</cp:revision>
  <dcterms:created xsi:type="dcterms:W3CDTF">2023-12-05T08:05:00Z</dcterms:created>
  <dcterms:modified xsi:type="dcterms:W3CDTF">2024-10-11T09:13:21Z</dcterms:modified>
  <cp:version>917504</cp:version>
</cp:coreProperties>
</file>